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39" w:rsidRPr="00877CAD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  <w:lang w:val="el-GR"/>
        </w:rPr>
      </w:pPr>
      <w:bookmarkStart w:id="0" w:name="_GoBack"/>
      <w:bookmarkEnd w:id="0"/>
      <w:r w:rsidRPr="0020312E">
        <w:rPr>
          <w:rFonts w:cs="Microsoft Sans Serif"/>
          <w:sz w:val="24"/>
          <w:szCs w:val="24"/>
        </w:rPr>
        <w:t>﻿</w:t>
      </w:r>
      <w:r w:rsidR="00877CAD">
        <w:rPr>
          <w:rFonts w:cs="Microsoft Sans Serif"/>
          <w:sz w:val="24"/>
          <w:szCs w:val="24"/>
          <w:lang w:val="el-GR"/>
        </w:rPr>
        <w:t>Απόφαση</w:t>
      </w:r>
      <w:r w:rsidR="00877CAD" w:rsidRPr="00877CAD">
        <w:rPr>
          <w:rFonts w:cs="Microsoft Sans Serif"/>
          <w:sz w:val="24"/>
          <w:szCs w:val="24"/>
          <w:lang w:val="el-GR"/>
        </w:rPr>
        <w:t xml:space="preserve"> </w:t>
      </w:r>
      <w:r w:rsidR="00877CAD">
        <w:rPr>
          <w:rFonts w:cs="Microsoft Sans Serif"/>
          <w:sz w:val="24"/>
          <w:szCs w:val="24"/>
          <w:lang w:val="el-GR"/>
        </w:rPr>
        <w:t>της</w:t>
      </w:r>
      <w:r w:rsidR="00877CAD" w:rsidRPr="00877CAD">
        <w:rPr>
          <w:rFonts w:cs="Microsoft Sans Serif"/>
          <w:sz w:val="24"/>
          <w:szCs w:val="24"/>
          <w:lang w:val="el-GR"/>
        </w:rPr>
        <w:t xml:space="preserve"> </w:t>
      </w:r>
      <w:r w:rsidR="00877CAD">
        <w:rPr>
          <w:rFonts w:cs="Microsoft Sans Serif"/>
          <w:sz w:val="24"/>
          <w:szCs w:val="24"/>
          <w:lang w:val="el-GR"/>
        </w:rPr>
        <w:t>Ευρωπαϊκής</w:t>
      </w:r>
      <w:r w:rsidR="00877CAD" w:rsidRPr="00877CAD">
        <w:rPr>
          <w:rFonts w:cs="Microsoft Sans Serif"/>
          <w:sz w:val="24"/>
          <w:szCs w:val="24"/>
          <w:lang w:val="el-GR"/>
        </w:rPr>
        <w:t xml:space="preserve"> </w:t>
      </w:r>
      <w:r w:rsidR="00877CAD">
        <w:rPr>
          <w:rFonts w:cs="Microsoft Sans Serif"/>
          <w:sz w:val="24"/>
          <w:szCs w:val="24"/>
          <w:lang w:val="el-GR"/>
        </w:rPr>
        <w:t xml:space="preserve">Επιτροπής Ανθρωπίνων Δικαιωμάτων στην υπόθεση </w:t>
      </w:r>
      <w:r w:rsidRPr="0020312E">
        <w:rPr>
          <w:rFonts w:cs="Microsoft Sans Serif"/>
          <w:sz w:val="24"/>
          <w:szCs w:val="24"/>
        </w:rPr>
        <w:t>E</w:t>
      </w:r>
      <w:r w:rsidRPr="00877CAD">
        <w:rPr>
          <w:rFonts w:cs="Microsoft Sans Serif"/>
          <w:sz w:val="24"/>
          <w:szCs w:val="24"/>
          <w:lang w:val="el-GR"/>
        </w:rPr>
        <w:t>.</w:t>
      </w:r>
      <w:r w:rsidRPr="0020312E">
        <w:rPr>
          <w:rFonts w:cs="Microsoft Sans Serif"/>
          <w:sz w:val="24"/>
          <w:szCs w:val="24"/>
        </w:rPr>
        <w:t>L</w:t>
      </w:r>
      <w:r w:rsidRPr="00877CAD">
        <w:rPr>
          <w:rFonts w:cs="Microsoft Sans Serif"/>
          <w:sz w:val="24"/>
          <w:szCs w:val="24"/>
          <w:lang w:val="el-GR"/>
        </w:rPr>
        <w:t>.</w:t>
      </w:r>
      <w:r w:rsidRPr="0020312E">
        <w:rPr>
          <w:rFonts w:cs="Microsoft Sans Serif"/>
          <w:sz w:val="24"/>
          <w:szCs w:val="24"/>
        </w:rPr>
        <w:t>H</w:t>
      </w:r>
      <w:r w:rsidRPr="00877CAD">
        <w:rPr>
          <w:rFonts w:cs="Microsoft Sans Serif"/>
          <w:sz w:val="24"/>
          <w:szCs w:val="24"/>
          <w:lang w:val="el-GR"/>
        </w:rPr>
        <w:t>.</w:t>
      </w:r>
      <w:r w:rsidR="00877CAD">
        <w:rPr>
          <w:rFonts w:cs="Microsoft Sans Serif"/>
          <w:sz w:val="24"/>
          <w:szCs w:val="24"/>
          <w:lang w:val="el-GR"/>
        </w:rPr>
        <w:t xml:space="preserve"> και </w:t>
      </w:r>
      <w:r w:rsidRPr="00877CAD">
        <w:rPr>
          <w:rFonts w:cs="Microsoft Sans Serif"/>
          <w:sz w:val="24"/>
          <w:szCs w:val="24"/>
          <w:lang w:val="el-GR"/>
        </w:rPr>
        <w:t xml:space="preserve">                   </w:t>
      </w:r>
      <w:r w:rsidRPr="0020312E">
        <w:rPr>
          <w:rFonts w:cs="Microsoft Sans Serif"/>
          <w:sz w:val="24"/>
          <w:szCs w:val="24"/>
        </w:rPr>
        <w:t>P</w:t>
      </w:r>
      <w:r w:rsidRPr="00877CAD">
        <w:rPr>
          <w:rFonts w:cs="Microsoft Sans Serif"/>
          <w:sz w:val="24"/>
          <w:szCs w:val="24"/>
          <w:lang w:val="el-GR"/>
        </w:rPr>
        <w:t>.</w:t>
      </w:r>
      <w:r w:rsidRPr="0020312E">
        <w:rPr>
          <w:rFonts w:cs="Microsoft Sans Serif"/>
          <w:sz w:val="24"/>
          <w:szCs w:val="24"/>
        </w:rPr>
        <w:t>B</w:t>
      </w:r>
      <w:r w:rsidRPr="00877CAD">
        <w:rPr>
          <w:rFonts w:cs="Microsoft Sans Serif"/>
          <w:sz w:val="24"/>
          <w:szCs w:val="24"/>
          <w:lang w:val="el-GR"/>
        </w:rPr>
        <w:t>.</w:t>
      </w:r>
      <w:r w:rsidRPr="0020312E">
        <w:rPr>
          <w:rFonts w:cs="Microsoft Sans Serif"/>
          <w:sz w:val="24"/>
          <w:szCs w:val="24"/>
        </w:rPr>
        <w:t>H</w:t>
      </w:r>
      <w:r w:rsidRPr="00877CAD">
        <w:rPr>
          <w:rFonts w:cs="Microsoft Sans Serif"/>
          <w:sz w:val="24"/>
          <w:szCs w:val="24"/>
          <w:lang w:val="el-GR"/>
        </w:rPr>
        <w:t>.</w:t>
      </w:r>
      <w:r w:rsidR="00877CAD">
        <w:rPr>
          <w:rFonts w:cs="Microsoft Sans Serif"/>
          <w:sz w:val="24"/>
          <w:szCs w:val="24"/>
          <w:lang w:val="el-GR"/>
        </w:rPr>
        <w:t xml:space="preserve"> κατά Αγγλίας</w:t>
      </w:r>
      <w:r w:rsidR="00877CAD">
        <w:rPr>
          <w:rStyle w:val="FootnoteReference"/>
          <w:rFonts w:cs="Microsoft Sans Serif"/>
          <w:sz w:val="24"/>
          <w:szCs w:val="24"/>
          <w:lang w:val="el-GR"/>
        </w:rPr>
        <w:footnoteReference w:id="1"/>
      </w:r>
      <w:r w:rsidR="00877CAD">
        <w:rPr>
          <w:rFonts w:cs="Microsoft Sans Serif"/>
          <w:sz w:val="24"/>
          <w:szCs w:val="24"/>
          <w:lang w:val="el-GR"/>
        </w:rPr>
        <w:t xml:space="preserve">: </w:t>
      </w:r>
    </w:p>
    <w:p w:rsidR="00D33A39" w:rsidRPr="00877CAD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  <w:lang w:val="el-GR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THE FACTS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The applicants, who are married, are British nationals born in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1963 and 1959 respectively. The second applicant is serving a term of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twenty years' imprisonment in H.M. Prison Swaleside. The applicants are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represented by Mr. Simon Creighton, a solicitor of the Prisoners Advice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Service.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The facts of the case, as they have been submitted by the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applicants, may be summarised as follows: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On 20 February 1989 the second applicant was sentenced to eight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years' imprisonment. On 2 February 1992 he absconded from prison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custody.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On 27 October 1992 he married the first applicant, who was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receiving fertility treatment as she had difficulty in conceiving. In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March 1994 the first applicant underwent exploratory surgery and it was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discovered that she required major surgery on her fallopian tube. This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lastRenderedPageBreak/>
        <w:t>surgery was scheduled for January 1995.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On 9 August 1994 the second applicant was rearrested and returned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to prison custody.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On 30 August 1994 the first applicant applied to the Home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Secretary for the right to have conjugal visits. The application was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rejected by the Director General of the Prison Service on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12 October 1994.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In January 1995 the first applicant was admitted to hospital.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However, the consultant gynaecologist decided not to operate on her,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as the surgery which had been planned would have increased the prospect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of conception for only a short period of time and the two applicants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were not in a position to attempt conception as the second applicant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was in prison.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On 17 February 1995 the second applicant was given a second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sentence of 14 years' imprisonment to run consecutively with the first.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On 4 October 1995 the second sentence was reduced to twelve years, to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be served consecutively.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On 4 January 1996 the second applicant submitted an application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lastRenderedPageBreak/>
        <w:t>for conjugal visits. The first applicant submitted a further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application on 9 January 1996 and asked her Member of Parliament for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support.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On 19 January 1996 the Prison Governor refused the second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applicant's application on the basis that there was no statutory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provision for such visits to take place.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On 23 January 1996 the second applicant also asked for his M.P.'s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support.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On 4 February 1996 the Director General of the Prison Service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informed the applicants' M.P. that conjugal visits were not allowed in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England and Wales.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COMPLAINTS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1.    The applicants complain under Articles 3, 8 and 12 of the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Convention, taken on their own and in conjunction with Article 14 of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the Convention, that they are not allowed conjugal visits in order to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procreate. Although artificial insemination is not ruled out in the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case of prisoners, the applicants have submitted evidence to the effect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that the Catholic Church of which both are followers does not approve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lastRenderedPageBreak/>
        <w:t>of this option.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2.    The applicants also complain under Article 13 of the Convention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that they do not have an effective remedy for the alleged violation of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their Convention rights.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THE LAW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1.    The Commission, having regard to the connection between the two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cases and the similar nature of the issues raised, considers it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appropriate to order the joinder of the present applications under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Rule 35 of its Rules of Procedure.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2.    The applicants complain under Articles 8 and 12 (Art. 8, 12) of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the  Convention that they are not allowed conjugal visits in prison.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Article 8 (Art. 8) of the Convention, insofar as relevant,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provides as follows: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"1.  Everyone has the right to respect for his ... family life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...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lastRenderedPageBreak/>
        <w:t xml:space="preserve">      2.   There shall be no interference by a public authority with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the exercise of this right except such as is in accordance with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the law and is necessary in a democratic society in the interests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of national security, public safety or the economic well-being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of the country, for the prevention of disorder or crime, for the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protection of health or morals, or for the protection of the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rights and freedoms of others."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Furthermore, Article 12 (Art. 12) of the Convention provides as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follows: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"Men and women of marriageable age have the right to marry and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to found a family, according to the national laws governing the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exercise of this right."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The Commission considers that it is particularly important for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prisoners to keep and develop family ties in order to be able better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to cope with life in prison and prepare for their return to the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community. It, therefore, notes with sympathy the reform movements in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several European countries to improve prison conditions by facilitating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"conjugal visits".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However, the Commission recalls its case-law to the effect that,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lastRenderedPageBreak/>
        <w:t>although the refusal of such visits constitutes an interference with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the right to respect for one's family life under Article 8 (Art. 8) of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the Convention, for the present time it must be regarded as justified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for the prevention of disorder or crime under the second paragraph of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that provision. Moreover, according to the same case-law, an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interference with family life which is justified under Article 8 para.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2 (Art. 8-2) of the Convention cannot at the same time constitute a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violation of Article 12 (Art. 12) (No. 17142/90, Dec. 10.7.91,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unpublished).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The Commission considers that the same conclusions should be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reached under Articles 8 and 12 (Art. 8, 12) of the Convention in the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present case, despite the exceptional circumstances invoked by the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applicants. Thus, although the first applicant requires major surgery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to be able to conceive and this surgery can only be performed when the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couple are in a position to attempt conception, domestic law, as the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applicants themselves accept, does not exclude artificial insemination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in the case of prisoners. Moreover, although the applicants claim that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the artificial insemination option is not open to them because they are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practising Catholics, the Commission recalls that Article 9 (Art. 9)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of the Convention, which protects the freedom to manifest one's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religious beliefs, does not guarantee the right to be exempted from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rules which apply generally and neutrally, such as rules prohibiting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lastRenderedPageBreak/>
        <w:t>"conjugal visits" in prisons (cf., mutatis mutandis, No. 10358/83, Dec.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15.12.83, D.R. 37 p. 142).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The Commission, therefore, considers that no appearance of a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violation of Articles 8 and 12 (Art. 8, 12) of the Convention is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disclosed. As a result, this part of the application is manifestly ill-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founded and must be rejected as inadmissible, in accordance with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Article 27 para. 2 (Art. 27-2) of the Convention.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3.    The applicants complain that the refusal to allow conjugal visits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in prison amounts to treatment prohibited under Article 3 (Art. 3) of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the  Convention.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However, the Commission recalls that, in order to fall within the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scope of this provision, the matter complained of must attain a minimum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level of severity (No. 10142/82, Dec. 8.7.85, D.R. 42, p. 86). This has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not occurred in the circumstances of the present case. It follows that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this part of the application is manifestly ill-founded and must be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rejected as inadmissible, in accordance with Article 27 para. 3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(Art. 27-3) of the Convention.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4.    The applicants complain of discrimination in the enjoyment of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their rights under Articles 3, 8 and 12 (Art. 3, 8, 12) of the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lastRenderedPageBreak/>
        <w:t>Convention contrary to Article 14 (Art. 14) thereof.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Insofar as the applicants can be deemed to complain that they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have less possibilities to procreate than persons who are not detained,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the Commission considers that the difference in treatment in question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is the direct result of a lawfully imposed prison sentence and, as a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result, has a reasonable and objective justification. Moreover, it has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not been shown that there exists no reasonable proportionality between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the means employed and the aim sought to be realised, since the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applicants have the possibility to apply for artificial insemination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facilities.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Insofar as the applicants can be deemed to complain that they are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de facto discriminated against because of their religious beliefs, the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Commission finds that it is within a State's margin of appreciation for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its authorities to consider that the particularly exacting demands of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discipline and order in prison require that no distinctions should be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made between prisoners insofar as "conjugal visits" are concerned. As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a result, the difference in treatment between prisoners whose religious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beliefs allow for artificial insemination and those whose religious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beliefs do not has an objective and reasonable justification and no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lack of reasonable proportionality has been established.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lastRenderedPageBreak/>
        <w:t xml:space="preserve">      It follows that no appearance of a violation of Article 14 of the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Convention taken in conjunction with Articles 3, 8 and 12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(Art. 14+3+8+12) is disclosed. This part of the application is,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therefore, manifestly ill-founded and must be rejected as inadmissible,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in accordance with Article 27 para. 2 (Art. 27-2) of the Convention.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5.    The applicants complain under Article 13 (Art. 13) of the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Convention that they do not have an effective remedy for the alleged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violation of their Convention rights.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The Commission recalls that, in accordance with its case-law, the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right to an effective remedy before a national authority under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Article 13 (Art. 13) of the Convention can only be claimed by someone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who has an "arguable claim" to be a victim of a violation of a right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recognised by the Convention (No. 10427/83, Dec. 12.5.86, D.R. 47, p.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85). However, this is not the applicants' case.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It follows that no appearance of a violation of Article 13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(Art. 13) of the Convention is disclosed. This part of the application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is, therefore, manifestly ill-founded and must be rejected as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inadmissible, in accordance with Article 27 para. 2 (Art. 27-2) of the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Convention.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lastRenderedPageBreak/>
        <w:t xml:space="preserve">      For these reasons, the Commission,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DECIDES TO JOIN APPLICATIONS N° 32094/96 AND N° 32568/96;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by a majority,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DECLARES THE APPLICATIONS INADMISSIBLE.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M.-T. SCHOEPFER                              G.H. THUNE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 xml:space="preserve">      Secretary                                  President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  <w:r w:rsidRPr="0020312E">
        <w:rPr>
          <w:rFonts w:cs="Microsoft Sans Serif"/>
          <w:sz w:val="24"/>
          <w:szCs w:val="24"/>
        </w:rPr>
        <w:t>to the Second Chamber                      of the Second Chamber</w:t>
      </w: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D33A39" w:rsidRPr="0020312E" w:rsidRDefault="00D33A39" w:rsidP="002031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Microsoft Sans Serif"/>
          <w:sz w:val="24"/>
          <w:szCs w:val="24"/>
        </w:rPr>
      </w:pPr>
    </w:p>
    <w:p w:rsidR="00E47DDD" w:rsidRPr="0020312E" w:rsidRDefault="00E47DDD" w:rsidP="0020312E">
      <w:pPr>
        <w:spacing w:before="120" w:after="120" w:line="360" w:lineRule="auto"/>
        <w:jc w:val="both"/>
        <w:rPr>
          <w:sz w:val="24"/>
          <w:szCs w:val="24"/>
        </w:rPr>
      </w:pPr>
    </w:p>
    <w:sectPr w:rsidR="00E47DDD" w:rsidRPr="0020312E" w:rsidSect="0020312E">
      <w:footerReference w:type="default" r:id="rId7"/>
      <w:pgSz w:w="12240" w:h="15840"/>
      <w:pgMar w:top="1417" w:right="1183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E71" w:rsidRDefault="00D54E71" w:rsidP="00D33A39">
      <w:pPr>
        <w:spacing w:after="0" w:line="240" w:lineRule="auto"/>
      </w:pPr>
      <w:r>
        <w:separator/>
      </w:r>
    </w:p>
  </w:endnote>
  <w:endnote w:type="continuationSeparator" w:id="0">
    <w:p w:rsidR="00D54E71" w:rsidRDefault="00D54E71" w:rsidP="00D3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12777"/>
      <w:docPartObj>
        <w:docPartGallery w:val="Page Numbers (Bottom of Page)"/>
        <w:docPartUnique/>
      </w:docPartObj>
    </w:sdtPr>
    <w:sdtEndPr/>
    <w:sdtContent>
      <w:p w:rsidR="00D33A39" w:rsidRDefault="007633BE">
        <w:pPr>
          <w:pStyle w:val="Footer"/>
          <w:jc w:val="right"/>
        </w:pPr>
        <w:r>
          <w:fldChar w:fldCharType="begin"/>
        </w:r>
        <w:r w:rsidR="00A429AD">
          <w:instrText xml:space="preserve"> PAGE   \* MERGEFORMAT </w:instrText>
        </w:r>
        <w:r>
          <w:fldChar w:fldCharType="separate"/>
        </w:r>
        <w:r w:rsidR="000C56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A39" w:rsidRDefault="00D33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E71" w:rsidRDefault="00D54E71" w:rsidP="00D33A39">
      <w:pPr>
        <w:spacing w:after="0" w:line="240" w:lineRule="auto"/>
      </w:pPr>
      <w:r>
        <w:separator/>
      </w:r>
    </w:p>
  </w:footnote>
  <w:footnote w:type="continuationSeparator" w:id="0">
    <w:p w:rsidR="00D54E71" w:rsidRDefault="00D54E71" w:rsidP="00D33A39">
      <w:pPr>
        <w:spacing w:after="0" w:line="240" w:lineRule="auto"/>
      </w:pPr>
      <w:r>
        <w:continuationSeparator/>
      </w:r>
    </w:p>
  </w:footnote>
  <w:footnote w:id="1">
    <w:p w:rsidR="00877CAD" w:rsidRPr="00877CAD" w:rsidRDefault="00877CAD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l-GR"/>
        </w:rPr>
        <w:t>Απόφαση της 22.10.1997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39"/>
    <w:rsid w:val="000C560C"/>
    <w:rsid w:val="00170B98"/>
    <w:rsid w:val="0020312E"/>
    <w:rsid w:val="00232FF6"/>
    <w:rsid w:val="003E3AB5"/>
    <w:rsid w:val="005778DD"/>
    <w:rsid w:val="00737AA3"/>
    <w:rsid w:val="007633BE"/>
    <w:rsid w:val="007A4CC9"/>
    <w:rsid w:val="00823616"/>
    <w:rsid w:val="00877CAD"/>
    <w:rsid w:val="00A429AD"/>
    <w:rsid w:val="00B54F81"/>
    <w:rsid w:val="00BD094D"/>
    <w:rsid w:val="00CF7B70"/>
    <w:rsid w:val="00D33A39"/>
    <w:rsid w:val="00D54E71"/>
    <w:rsid w:val="00E47DDD"/>
    <w:rsid w:val="00ED3F05"/>
    <w:rsid w:val="00F0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0B4C0-36E6-4623-8FBE-44253092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A39"/>
    <w:pPr>
      <w:jc w:val="left"/>
    </w:pPr>
    <w:rPr>
      <w:rFonts w:eastAsiaTheme="minorEastAsia"/>
      <w:sz w:val="22"/>
      <w:szCs w:val="22"/>
      <w:lang w:eastAsia="ja-JP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B70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B70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B70"/>
    <w:pPr>
      <w:spacing w:after="0"/>
      <w:outlineLvl w:val="2"/>
    </w:pPr>
    <w:rPr>
      <w:rFonts w:eastAsiaTheme="minorHAnsi"/>
      <w:smallCaps/>
      <w:spacing w:val="5"/>
      <w:sz w:val="24"/>
      <w:szCs w:val="24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7B70"/>
    <w:pPr>
      <w:spacing w:before="240" w:after="0"/>
      <w:outlineLvl w:val="3"/>
    </w:pPr>
    <w:rPr>
      <w:rFonts w:eastAsiaTheme="minorHAnsi"/>
      <w:smallCaps/>
      <w:spacing w:val="10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B70"/>
    <w:pPr>
      <w:spacing w:before="200" w:after="0"/>
      <w:outlineLvl w:val="4"/>
    </w:pPr>
    <w:rPr>
      <w:rFonts w:eastAsiaTheme="minorHAnsi"/>
      <w:smallCaps/>
      <w:color w:val="943634" w:themeColor="accent2" w:themeShade="BF"/>
      <w:spacing w:val="10"/>
      <w:szCs w:val="26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B70"/>
    <w:pPr>
      <w:spacing w:after="0"/>
      <w:outlineLvl w:val="5"/>
    </w:pPr>
    <w:rPr>
      <w:rFonts w:eastAsiaTheme="minorHAnsi"/>
      <w:smallCaps/>
      <w:color w:val="C0504D" w:themeColor="accent2"/>
      <w:spacing w:val="5"/>
      <w:szCs w:val="20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7B70"/>
    <w:pPr>
      <w:spacing w:after="0"/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B70"/>
    <w:pPr>
      <w:spacing w:after="0"/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B70"/>
    <w:pPr>
      <w:spacing w:after="0"/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B7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B7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B7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7B7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B7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7B7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7B7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7B7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7B7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7B70"/>
    <w:pPr>
      <w:jc w:val="both"/>
    </w:pPr>
    <w:rPr>
      <w:rFonts w:eastAsiaTheme="minorHAnsi"/>
      <w:b/>
      <w:bCs/>
      <w:caps/>
      <w:sz w:val="16"/>
      <w:szCs w:val="18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F7B70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F7B7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7B70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F7B7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F7B70"/>
    <w:rPr>
      <w:b/>
      <w:color w:val="C0504D" w:themeColor="accent2"/>
    </w:rPr>
  </w:style>
  <w:style w:type="character" w:styleId="Emphasis">
    <w:name w:val="Emphasis"/>
    <w:uiPriority w:val="20"/>
    <w:qFormat/>
    <w:rsid w:val="00CF7B7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F7B70"/>
    <w:pPr>
      <w:spacing w:after="0" w:line="240" w:lineRule="auto"/>
      <w:jc w:val="both"/>
    </w:pPr>
    <w:rPr>
      <w:rFonts w:eastAsiaTheme="minorHAnsi"/>
      <w:sz w:val="20"/>
      <w:szCs w:val="20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F7B70"/>
  </w:style>
  <w:style w:type="paragraph" w:styleId="ListParagraph">
    <w:name w:val="List Paragraph"/>
    <w:basedOn w:val="Normal"/>
    <w:uiPriority w:val="34"/>
    <w:qFormat/>
    <w:rsid w:val="00CF7B70"/>
    <w:pPr>
      <w:ind w:left="720"/>
      <w:contextualSpacing/>
      <w:jc w:val="both"/>
    </w:pPr>
    <w:rPr>
      <w:rFonts w:eastAsiaTheme="minorHAnsi"/>
      <w:sz w:val="20"/>
      <w:szCs w:val="20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F7B70"/>
    <w:pPr>
      <w:jc w:val="both"/>
    </w:pPr>
    <w:rPr>
      <w:rFonts w:eastAsiaTheme="minorHAnsi"/>
      <w:i/>
      <w:sz w:val="20"/>
      <w:szCs w:val="20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CF7B7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7B7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7B7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F7B70"/>
    <w:rPr>
      <w:i/>
    </w:rPr>
  </w:style>
  <w:style w:type="character" w:styleId="IntenseEmphasis">
    <w:name w:val="Intense Emphasis"/>
    <w:uiPriority w:val="21"/>
    <w:qFormat/>
    <w:rsid w:val="00CF7B7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F7B70"/>
    <w:rPr>
      <w:b/>
    </w:rPr>
  </w:style>
  <w:style w:type="character" w:styleId="IntenseReference">
    <w:name w:val="Intense Reference"/>
    <w:uiPriority w:val="32"/>
    <w:qFormat/>
    <w:rsid w:val="00CF7B7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F7B7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7B7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D33A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A39"/>
    <w:rPr>
      <w:rFonts w:eastAsiaTheme="minorEastAsia"/>
      <w:sz w:val="22"/>
      <w:szCs w:val="22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D33A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39"/>
    <w:rPr>
      <w:rFonts w:eastAsiaTheme="minorEastAsia"/>
      <w:sz w:val="22"/>
      <w:szCs w:val="22"/>
      <w:lang w:eastAsia="ja-JP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7C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CAD"/>
    <w:rPr>
      <w:rFonts w:eastAsiaTheme="minorEastAsia"/>
      <w:lang w:eastAsia="ja-JP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77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2E1DC-0504-4CCC-902A-6FC0CE17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1537</Words>
  <Characters>8766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Ska</cp:lastModifiedBy>
  <cp:revision>2</cp:revision>
  <dcterms:created xsi:type="dcterms:W3CDTF">2015-02-20T11:34:00Z</dcterms:created>
  <dcterms:modified xsi:type="dcterms:W3CDTF">2015-02-20T11:34:00Z</dcterms:modified>
</cp:coreProperties>
</file>